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E99A" w14:textId="59A28E7C" w:rsidR="00EE4C58" w:rsidRPr="00EE4C58" w:rsidRDefault="00E81450" w:rsidP="00C51698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proofErr w:type="spellStart"/>
      <w:r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  <w:r>
        <w:rPr>
          <w:rFonts w:ascii="Invesco Interstate Bold" w:hAnsi="Invesco Interstate Bold"/>
          <w:b/>
          <w:bCs/>
          <w:sz w:val="28"/>
          <w:szCs w:val="28"/>
        </w:rPr>
        <w:t>: Co se dělo na trzích v červenci?</w:t>
      </w:r>
    </w:p>
    <w:p w14:paraId="11EF7FC3" w14:textId="69168F26" w:rsidR="000D54B1" w:rsidRPr="000D54B1" w:rsidRDefault="001E1C75" w:rsidP="000D54B1">
      <w:pPr>
        <w:spacing w:line="360" w:lineRule="auto"/>
        <w:jc w:val="both"/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Globální </w:t>
      </w:r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trhy v červenci zaznamenaly zisky. Ty podpořilo uvolnění obchodních napětí, odoln</w:t>
      </w:r>
      <w:r w:rsidR="00E175C9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é</w:t>
      </w:r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zisky podniků a selektivní podpor</w:t>
      </w:r>
      <w:r w:rsidR="00E175C9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</w:t>
      </w:r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politiky. Evropské a britské akcie se zotavily slabému růstu a přetrvávající inflaci navzdory, zatímco USA překonaly očekávání díky silným datům k HDP a optimismu ohledně daňové reformy. Trhy v </w:t>
      </w:r>
      <w:proofErr w:type="spellStart"/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asijsko</w:t>
      </w:r>
      <w:proofErr w:type="spellEnd"/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</w:t>
      </w:r>
      <w:r w:rsidR="00E81450" w:rsidRP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–</w:t>
      </w:r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pacifickém regionu sílily, vedenou Čínou, Japonskem a Jižní Koreou, ale Indie zaostávala. Rozvíjející se trhy vykázaly smíšené výsledky, přičemž akcie zemí </w:t>
      </w:r>
      <w:proofErr w:type="spellStart"/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ASEANu</w:t>
      </w:r>
      <w:proofErr w:type="spellEnd"/>
      <w:r w:rsidR="00E81450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 xml:space="preserve"> vzrostly díky obchodním dohodám. Brazílie se potýkala s obavami z inflace a s geopolitickým napětím. Trhy s nástroji s pevným výnosem poklesly, protože jestřábí komentáře centrálních bank zatížily státní dluhopisy. Korporátní dluhopisy přinesly ale pozitivní výnosy. </w:t>
      </w:r>
    </w:p>
    <w:p w14:paraId="531907A2" w14:textId="77777777" w:rsidR="00B41018" w:rsidRDefault="00B41018" w:rsidP="00B41018"/>
    <w:p w14:paraId="3DAEEF39" w14:textId="5AEB6057" w:rsidR="001F7607" w:rsidRPr="00FA03F4" w:rsidRDefault="001E1C75" w:rsidP="00FA03F4">
      <w:pPr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Evropa</w:t>
      </w:r>
    </w:p>
    <w:p w14:paraId="7ADC851B" w14:textId="77777777" w:rsidR="00FA03F4" w:rsidRPr="00FA03F4" w:rsidRDefault="00FA03F4" w:rsidP="00FA03F4">
      <w:pPr>
        <w:spacing w:line="240" w:lineRule="auto"/>
        <w:jc w:val="both"/>
        <w:rPr>
          <w:rFonts w:ascii="Invesco Interstate Light" w:eastAsia="MS Mincho" w:hAnsi="Invesco Interstate Light" w:cs="Cambria"/>
          <w:b/>
          <w:bCs/>
          <w:lang w:eastAsia="ja-JP"/>
        </w:rPr>
      </w:pPr>
    </w:p>
    <w:p w14:paraId="5F11E72D" w14:textId="77777777" w:rsidR="00960B80" w:rsidRPr="00960B80" w:rsidRDefault="00960B80" w:rsidP="00960B8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Evropské akciové trhy se v červenci zotavily a částečně vyrovnaly ztráty z června. Růst táhly silné zisky ve finančním sektoru a rostoucí ceny ropy, což podpořilo energetické akcie. Naopak technologický sektor zaostával kvůli slabším výsledkům za druhé čtvrtletí. Z makro pohledu se růst HDP eurozóny prudce zpomalil na pouhých 0,1 % mezikvartálně. Německo a Itálie také zaznamenaly pokles. Španělsko vyniklo robustním růstem, zatímco Francie překvapila mírným zlepšením. Inflace se udržela na </w:t>
      </w:r>
      <w:proofErr w:type="gramStart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>2%</w:t>
      </w:r>
      <w:proofErr w:type="gramEnd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cíli Evropské centrální banky, podporována nižšími náklady na energii a silnějším eurem. ECB ponechala úrokové sazby beze změny a zaujala opatrný postoj vzhledem k přetrvávajícímu globálnímu obchodnímu napětí. Klíčovým vývojem byla obchodní dohoda mezi EU a USA, která stanovila celní sazbu o 15 % vyšší, než se očekávalo. Zatímco v některých odvětvích, jako je automobilový průmysl, došlo ke snížení cel, EU se zavázala k významným strategickým nákupům a investicím v USA, což odráží pragmatický politický kompromis v náročných podmínkách. </w:t>
      </w:r>
    </w:p>
    <w:p w14:paraId="1C915947" w14:textId="48C90B77" w:rsidR="0040688D" w:rsidRDefault="007C1008" w:rsidP="0040688D">
      <w:pPr>
        <w:spacing w:line="360" w:lineRule="auto"/>
        <w:jc w:val="both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sz w:val="22"/>
          <w:szCs w:val="22"/>
          <w:lang w:eastAsia="ja-JP"/>
        </w:rPr>
        <w:br/>
      </w:r>
      <w:r w:rsidR="00960B80"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Spojené království</w:t>
      </w:r>
    </w:p>
    <w:p w14:paraId="30D73F22" w14:textId="77777777" w:rsidR="007C1008" w:rsidRPr="007C1008" w:rsidRDefault="007C1008" w:rsidP="007C1008">
      <w:pPr>
        <w:spacing w:line="240" w:lineRule="auto"/>
        <w:jc w:val="both"/>
        <w:rPr>
          <w:rFonts w:ascii="Invesco Interstate Light" w:eastAsia="MS Mincho" w:hAnsi="Invesco Interstate Light" w:cs="Cambria"/>
          <w:b/>
          <w:bCs/>
          <w:lang w:eastAsia="ja-JP"/>
        </w:rPr>
      </w:pPr>
    </w:p>
    <w:p w14:paraId="6EEB7CC6" w14:textId="06F519A0" w:rsidR="007C1008" w:rsidRDefault="00960B80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Britské akcie zakončily červenec v pozitivním duchu, když index FTSE 100 překonal hranici 9 000 bodů, a to díky silným firemním ziskům. Celkově to však v ekonomice bylo náročnější. Britská inflace v červnu nečekaně vzrostla na 3,6 % v důsledku vyšších nákladů na pohonné hmoty a dopravu. Vzrostla i jádrová inflace, což navzdory zpomalení růstu zvýšilo tlak na Bank </w:t>
      </w:r>
      <w:proofErr w:type="spellStart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>of</w:t>
      </w:r>
      <w:proofErr w:type="spellEnd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>England</w:t>
      </w:r>
      <w:proofErr w:type="spellEnd"/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. Ekonomika se znovu propadla. Podmínky na trhu práce se zhoršily, nezaměstnanost vzrostla na 4,7 % a počet volných pracovních míst klesl, což spolu s </w:t>
      </w:r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pomalejším růstem mezd signalizuje ochlazení trhu práce a posiluje očekávání snížení úrokových sazeb v průběhu tohoto roku. </w:t>
      </w:r>
    </w:p>
    <w:p w14:paraId="43B32BB9" w14:textId="77777777" w:rsidR="007C1008" w:rsidRPr="007C1008" w:rsidRDefault="007C1008" w:rsidP="007C1008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6C682DE" w14:textId="5B2BCA80" w:rsidR="00B55260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USA</w:t>
      </w:r>
    </w:p>
    <w:p w14:paraId="57229542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7A3E1D49" w14:textId="77777777" w:rsidR="00960B80" w:rsidRPr="00960B80" w:rsidRDefault="00960B80" w:rsidP="00960B8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>Americké akciové trhy v červenci posílily a překonaly světové protějšky, protože optimismus ohledně daňové reformy a uvolnění obchodních napětí zlepšil náladu investorů. Zisky měly širokou základnu, v čele s technologickým sektorem, který nadále těžil ze silné poptávky související s umělou inteligencí. Americká ekonomika ve druhém čtvrtletí rostla anualizovaným tempem 3 %, čímž překonala očekávání, a to díky příznivé dynamice obchodu. Slabá data o zaměstnanosti a přetrvávající inflace, která vzrostla na 2,7 %, však podpořily spekulace trhu o zásahu Federálního rezervního systému v září. Ačkoli Fed úrokové sazby nezměnil, nesouhlasné hlasy a opatrné komentáře signalizovaly rostoucí tlak na jejich snížení. Navzdory smíšeným ukazatelům se zlepšila důvěra spotřebitelů a aktivita v sektoru služeb, což posílilo názor, že oživení je, ale nerovnoměrné.</w:t>
      </w:r>
    </w:p>
    <w:p w14:paraId="52B28101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DA7EC84" w14:textId="4151D9F9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Asie</w:t>
      </w:r>
    </w:p>
    <w:p w14:paraId="1DD01CBD" w14:textId="77777777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43D2DD21" w14:textId="77777777" w:rsidR="00960B80" w:rsidRPr="00960B80" w:rsidRDefault="00960B80" w:rsidP="00960B80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960B80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Akcie v asijsko-pacifickém regionu zakončily červenec v kladných číslech, i když výkonnost jednotlivých trhů se lišila. Zisky v Číně, Japonsku a Jižní Koreji byly poháněny optimismem v případě obchodních jednání a také silným technologickým sektorem. Čínské akcie vzrostly, protože úřady se zavázaly omezit nadměrnou konkurenci na trhu a podpořit modernizaci průmyslu, a to i přes přetrvávající deflační tlaky. Japonsko těží z nové obchodní dohody mezi USA a Japonskem a ze silných firemních zisků, i když politická nejistota tlumí sentiment. Jižní Korea posílila díky reformám v oblasti správy a řízení společností a získání významné zakázky na polovodiče společností Samsung. Pokrok zaznamenal také Tchaj-wan, tažený technologickým sektorem a obnovitelnými zdroji energie. </w:t>
      </w:r>
    </w:p>
    <w:p w14:paraId="0536691E" w14:textId="77777777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</w:p>
    <w:p w14:paraId="73DD3E49" w14:textId="69F587D0" w:rsidR="007C1008" w:rsidRDefault="007C1008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Rozvíjející se trhy</w:t>
      </w:r>
    </w:p>
    <w:p w14:paraId="19F9C283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5A46375" w14:textId="77777777" w:rsidR="00843039" w:rsidRPr="00843039" w:rsidRDefault="00843039" w:rsidP="0084303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Akcie rozvíjejících se trhů v červenci zaznamenaly zisky, které byly podpořeny silným výkonem trhů ASEAN. Thajsko, Indonésie a Singapur posílily díky dohodnutým obchodním dohodám, robustním ziskům a podpůrným politickým opatřením, včetně snížení úrokových sazeb a lepších než očekávaných údajů o HDP. Zájezdy čínských turistů a optimismus ohledně obchodních jednání s USA dále zlepšily sentiment v Thajsku. Naproti tomu brazilské trhy oslabily, protože eskalující napětí s USA a překvapivý růst inflace oslabily důvěru investorů. Turecké akcie posílily po snížení úrokových sazeb centrální bankou a obnoveném závazku k </w:t>
      </w:r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>dezinflaci, přičemž široký růst zaznamenaly finanční, průmyslové a spotřebitelské sektory. Indie zaznamenala mírný pokles, který byl způsoben slabými finančními výsledky a přetrvávající nejistotou v oblasti obchodu, ačkoli automobilový sektor těžil z nové obchodní dohody mezi Velkou Británií a Indií.</w:t>
      </w:r>
    </w:p>
    <w:p w14:paraId="3015826A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41B173C" w14:textId="2A1D0DE9" w:rsidR="007C1008" w:rsidRDefault="00843039" w:rsidP="007C1008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</w:pPr>
      <w:r>
        <w:rPr>
          <w:rFonts w:ascii="Invesco Interstate Light" w:eastAsia="MS Mincho" w:hAnsi="Invesco Interstate Light" w:cs="Cambria"/>
          <w:b/>
          <w:bCs/>
          <w:sz w:val="22"/>
          <w:szCs w:val="22"/>
          <w:lang w:eastAsia="ja-JP"/>
        </w:rPr>
        <w:t>Dluhopisy</w:t>
      </w:r>
    </w:p>
    <w:p w14:paraId="0F280C8F" w14:textId="77777777" w:rsidR="007C1008" w:rsidRDefault="007C1008" w:rsidP="00651AAE">
      <w:pPr>
        <w:autoSpaceDE w:val="0"/>
        <w:autoSpaceDN w:val="0"/>
        <w:adjustRightInd w:val="0"/>
        <w:spacing w:line="24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8D47166" w14:textId="77777777" w:rsidR="00843039" w:rsidRPr="00843039" w:rsidRDefault="00843039" w:rsidP="0084303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Úrokové sazby zůstaly stabilní jak v USA, tak v eurozóně, nicméně vládní dluhopisy oslabily, protože jestřábí komentáře předsedy Federálního rezervního systému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Jeromea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Powella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a prezidentky ECB Christine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Lagardeové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vedly investory k tomu, aby přehodnotili pravděpodobnost krátkodobého snížení sazeb. Americké státní dluhopisy, německé bundy a britské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gilts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zaznamenaly za uplynulý měsíc negativní výnosy. Americká ekonomika prokázala odolnost a ve druhém čtvrtletí rostla anualizovaným tempem 3 %, zatímco inflace vzrostla na 2,7 %. Nová obchodní dohoda mezi USA a EU zavedla 15% dovozní clo na většinu zboží z EU, přičemž Brusel učinil většinu ústupků. Ve Velké Británii inflace v červnu vzrostla na 3,6 %, ale vzhledem k poklesu ekonomiky a známkám oslabení trhu práce trhy zůstávají přesvědčeny, že Bank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of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>England</w:t>
      </w:r>
      <w:proofErr w:type="spellEnd"/>
      <w:r w:rsidRPr="0084303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v srpnu sazby sníží. Trhy s podnikovými dluhopisy přinesly pozitivní zisky, které byly taženy vysokým výnosem a podporovány silnou poptávkou investorů.</w:t>
      </w:r>
    </w:p>
    <w:p w14:paraId="72CF18B4" w14:textId="77777777" w:rsidR="00B41018" w:rsidRDefault="00B41018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</w:p>
    <w:p w14:paraId="7BF77D56" w14:textId="153253D3" w:rsidR="00497B07" w:rsidRPr="00654055" w:rsidRDefault="4E481D2D" w:rsidP="00651AAE">
      <w:pPr>
        <w:autoSpaceDE w:val="0"/>
        <w:autoSpaceDN w:val="0"/>
        <w:adjustRightInd w:val="0"/>
        <w:spacing w:line="240" w:lineRule="auto"/>
        <w:rPr>
          <w:rFonts w:ascii="Invesco Interstate Light" w:hAnsi="Invesco Interstate Light"/>
          <w:b/>
          <w:bCs/>
          <w:sz w:val="22"/>
          <w:szCs w:val="22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lastRenderedPageBreak/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1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2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D59D" w14:textId="77777777" w:rsidR="0094134A" w:rsidRDefault="0094134A">
      <w:r>
        <w:separator/>
      </w:r>
    </w:p>
  </w:endnote>
  <w:endnote w:type="continuationSeparator" w:id="0">
    <w:p w14:paraId="4D6DD50E" w14:textId="77777777" w:rsidR="0094134A" w:rsidRDefault="0094134A">
      <w:r>
        <w:continuationSeparator/>
      </w:r>
    </w:p>
  </w:endnote>
  <w:endnote w:type="continuationNotice" w:id="1">
    <w:p w14:paraId="7335BD36" w14:textId="77777777" w:rsidR="0094134A" w:rsidRDefault="009413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C36CC" w14:textId="77777777" w:rsidR="0094134A" w:rsidRDefault="0094134A">
      <w:r>
        <w:separator/>
      </w:r>
    </w:p>
  </w:footnote>
  <w:footnote w:type="continuationSeparator" w:id="0">
    <w:p w14:paraId="39DA7BB8" w14:textId="77777777" w:rsidR="0094134A" w:rsidRDefault="0094134A">
      <w:r>
        <w:continuationSeparator/>
      </w:r>
    </w:p>
  </w:footnote>
  <w:footnote w:type="continuationNotice" w:id="1">
    <w:p w14:paraId="78854B3E" w14:textId="77777777" w:rsidR="0094134A" w:rsidRDefault="009413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36A2DA99" w:rsidR="00702C33" w:rsidRPr="000730A6" w:rsidRDefault="0040688D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1</w:t>
    </w:r>
    <w:r w:rsidR="00E81450">
      <w:rPr>
        <w:color w:val="000000"/>
        <w:sz w:val="28"/>
        <w:szCs w:val="28"/>
      </w:rPr>
      <w:t>2</w:t>
    </w:r>
    <w:r w:rsidR="0083625E">
      <w:rPr>
        <w:color w:val="000000"/>
        <w:sz w:val="28"/>
        <w:szCs w:val="28"/>
      </w:rPr>
      <w:t>.</w:t>
    </w:r>
    <w:r w:rsidR="00E81450">
      <w:rPr>
        <w:color w:val="000000"/>
        <w:sz w:val="28"/>
        <w:szCs w:val="28"/>
      </w:rPr>
      <w:t>8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055A79">
      <w:rPr>
        <w:color w:val="000000"/>
        <w:sz w:val="28"/>
        <w:szCs w:val="28"/>
      </w:rPr>
      <w:t>5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403C3"/>
    <w:multiLevelType w:val="multilevel"/>
    <w:tmpl w:val="11820CCE"/>
    <w:numStyleLink w:val="FormatvorlageAufgezhlt"/>
  </w:abstractNum>
  <w:abstractNum w:abstractNumId="30" w15:restartNumberingAfterBreak="0">
    <w:nsid w:val="6C6C4721"/>
    <w:multiLevelType w:val="multilevel"/>
    <w:tmpl w:val="11820CCE"/>
    <w:numStyleLink w:val="FormatvorlageAufgezhlt"/>
  </w:abstractNum>
  <w:abstractNum w:abstractNumId="31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80B"/>
    <w:multiLevelType w:val="multilevel"/>
    <w:tmpl w:val="11820CCE"/>
    <w:numStyleLink w:val="FormatvorlageAufgezhlt"/>
  </w:abstractNum>
  <w:abstractNum w:abstractNumId="33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6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29"/>
  </w:num>
  <w:num w:numId="7" w16cid:durableId="190919629">
    <w:abstractNumId w:val="30"/>
  </w:num>
  <w:num w:numId="8" w16cid:durableId="2083285618">
    <w:abstractNumId w:val="1"/>
  </w:num>
  <w:num w:numId="9" w16cid:durableId="1653213567">
    <w:abstractNumId w:val="32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38"/>
  </w:num>
  <w:num w:numId="14" w16cid:durableId="2009676695">
    <w:abstractNumId w:val="39"/>
  </w:num>
  <w:num w:numId="15" w16cid:durableId="1629623239">
    <w:abstractNumId w:val="25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8"/>
  </w:num>
  <w:num w:numId="19" w16cid:durableId="832065860">
    <w:abstractNumId w:val="31"/>
  </w:num>
  <w:num w:numId="20" w16cid:durableId="667943464">
    <w:abstractNumId w:val="36"/>
  </w:num>
  <w:num w:numId="21" w16cid:durableId="225343112">
    <w:abstractNumId w:val="34"/>
  </w:num>
  <w:num w:numId="22" w16cid:durableId="1319532336">
    <w:abstractNumId w:val="13"/>
  </w:num>
  <w:num w:numId="23" w16cid:durableId="1341154147">
    <w:abstractNumId w:val="24"/>
  </w:num>
  <w:num w:numId="24" w16cid:durableId="796413596">
    <w:abstractNumId w:val="18"/>
  </w:num>
  <w:num w:numId="25" w16cid:durableId="2010979537">
    <w:abstractNumId w:val="37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3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5"/>
  </w:num>
  <w:num w:numId="39" w16cid:durableId="1411855782">
    <w:abstractNumId w:val="27"/>
  </w:num>
  <w:num w:numId="40" w16cid:durableId="1680741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cs-CZ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DA2"/>
    <w:rsid w:val="00361E31"/>
    <w:rsid w:val="00362109"/>
    <w:rsid w:val="00362710"/>
    <w:rsid w:val="003647F8"/>
    <w:rsid w:val="0036569C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3B4"/>
    <w:rsid w:val="004D0317"/>
    <w:rsid w:val="004D03DD"/>
    <w:rsid w:val="004D1118"/>
    <w:rsid w:val="004D11F2"/>
    <w:rsid w:val="004D1258"/>
    <w:rsid w:val="004D21A4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200C"/>
    <w:rsid w:val="006A27C8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FF"/>
    <w:rsid w:val="007E46DD"/>
    <w:rsid w:val="007E54BA"/>
    <w:rsid w:val="007E56F4"/>
    <w:rsid w:val="007E61AE"/>
    <w:rsid w:val="007E6FF3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1805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73D7"/>
    <w:rsid w:val="00B97B75"/>
    <w:rsid w:val="00B97D67"/>
    <w:rsid w:val="00BA0C1E"/>
    <w:rsid w:val="00BA0FFB"/>
    <w:rsid w:val="00BA2966"/>
    <w:rsid w:val="00BA3582"/>
    <w:rsid w:val="00BA38D5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858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154F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DA9"/>
    <w:rsid w:val="00DA0DE3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BCA"/>
    <w:rsid w:val="00DF114B"/>
    <w:rsid w:val="00DF117D"/>
    <w:rsid w:val="00DF1B81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49C"/>
    <w:rsid w:val="00EA2639"/>
    <w:rsid w:val="00EA297F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E481D2D"/>
    <w:rsid w:val="59A5D358"/>
    <w:rsid w:val="61727A13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ka.krohova@crestcom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7" ma:contentTypeDescription="Vytvoří nový dokument" ma:contentTypeScope="" ma:versionID="4d8c69a6b026994095c8e68991c8bc36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6e331254a31459b64dcabebdebfadf7e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5A6B3-D168-4585-B88B-E5276F678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Performance</vt:lpstr>
      <vt:lpstr>Performance</vt:lpstr>
    </vt:vector>
  </TitlesOfParts>
  <Company>INVESCO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2</cp:revision>
  <cp:lastPrinted>2021-02-17T20:24:00Z</cp:lastPrinted>
  <dcterms:created xsi:type="dcterms:W3CDTF">2025-08-12T10:40:00Z</dcterms:created>
  <dcterms:modified xsi:type="dcterms:W3CDTF">2025-08-12T10:40:00Z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</Properties>
</file>